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956"/>
        <w:gridCol w:w="570"/>
        <w:gridCol w:w="204"/>
        <w:gridCol w:w="357"/>
        <w:gridCol w:w="1213"/>
        <w:gridCol w:w="1886"/>
        <w:gridCol w:w="271"/>
        <w:gridCol w:w="1613"/>
        <w:gridCol w:w="1383"/>
        <w:gridCol w:w="412"/>
        <w:gridCol w:w="278"/>
        <w:gridCol w:w="140"/>
        <w:gridCol w:w="414"/>
        <w:gridCol w:w="167"/>
        <w:gridCol w:w="29"/>
        <w:gridCol w:w="536"/>
        <w:gridCol w:w="148"/>
        <w:gridCol w:w="19"/>
      </w:tblGrid>
      <w:tr w:rsidR="00F11DB8" w:rsidTr="00F11DB8">
        <w:trPr>
          <w:trHeight w:val="44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Tecnológico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20"/>
        </w:trPr>
        <w:tc>
          <w:tcPr>
            <w:tcW w:w="2110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7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Fujo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Fondos</w:t>
            </w:r>
            <w:proofErr w:type="spellEnd"/>
          </w:p>
          <w:p w:rsidR="00367432" w:rsidRDefault="00367432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/21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/21</w:t>
            </w: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20"/>
        </w:trPr>
        <w:tc>
          <w:tcPr>
            <w:tcW w:w="2110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7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trHeight w:val="44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hRule="exact" w:val="60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29" w:type="dxa"/>
            <w:gridSpan w:val="1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gridAfter w:val="1"/>
          <w:wAfter w:w="19" w:type="dxa"/>
          <w:trHeight w:hRule="exact" w:val="260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Pr="00F31A8D" w:rsidRDefault="004F028D">
            <w:pPr>
              <w:spacing w:after="0" w:line="238" w:lineRule="auto"/>
              <w:ind w:left="30" w:right="30"/>
              <w:rPr>
                <w:sz w:val="18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DISPONIBILIDAD AL 1 DE ENERO DE 2021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Pr="00F31A8D" w:rsidRDefault="004F028D">
            <w:pPr>
              <w:spacing w:after="0" w:line="238" w:lineRule="auto"/>
              <w:ind w:left="30" w:right="30"/>
              <w:rPr>
                <w:sz w:val="18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INGRESOS Y OTROS BENEFICIOS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 w:colFirst="1" w:colLast="11"/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INGRESOS POR VENTA DE BIENES Y PRESTACIÓN DE SERVICIOS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$3,487,660.72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TRANSFERENCIAS, ASIGNACIONES, SUBSIDIOS Y SUBVENCIONES, Y PENSIONES Y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JUBILACIONES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$45,485,882.58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INGRESOS FINANCIEROS</w:t>
            </w:r>
          </w:p>
        </w:tc>
        <w:tc>
          <w:tcPr>
            <w:tcW w:w="1795" w:type="dxa"/>
            <w:gridSpan w:val="2"/>
            <w:shd w:val="clear" w:color="FF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-$293.70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OTROS INGRESOS Y BENEFICIOS VARIOS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$490,078.96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TOTAL INGRESOS Y OTROS BENEFICIOS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$49,463,328.56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gridAfter w:val="1"/>
          <w:wAfter w:w="19" w:type="dxa"/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$49,463,328.56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gridAfter w:val="1"/>
          <w:wAfter w:w="19" w:type="dxa"/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GASTOS Y OTRAS PERDIDAS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SERVICIOS PERSONALES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$43,104,518.09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MATERIALES Y SUMINISTROS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$1,179,087.19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SERVICIOS GENERALES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$3,929,894.14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AYUDAS SOCIALES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$12,168.06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F31A8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</w:t>
            </w:r>
          </w:p>
          <w:p w:rsidR="00F31A8D" w:rsidRDefault="00F31A8D" w:rsidP="00F31A8D">
            <w:pPr>
              <w:spacing w:after="0" w:line="238" w:lineRule="auto"/>
              <w:ind w:right="30"/>
              <w:rPr>
                <w:sz w:val="12"/>
                <w:szCs w:val="12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$48,225,667.48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gridAfter w:val="1"/>
          <w:wAfter w:w="19" w:type="dxa"/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Pr="004F028D" w:rsidRDefault="00A65467">
            <w:pPr>
              <w:spacing w:after="0" w:line="0" w:lineRule="auto"/>
              <w:rPr>
                <w:sz w:val="16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rFonts w:ascii="Microsoft Sans Serif" w:hAnsi="Microsoft Sans Serif" w:cs="Microsoft Sans Serif"/>
                <w:b/>
                <w:color w:val="000000"/>
                <w:sz w:val="20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20"/>
                <w:szCs w:val="12"/>
              </w:rPr>
              <w:t>DISPONIBILIDAD AL 31 DE DICIEMBRE DE 2021</w:t>
            </w:r>
          </w:p>
          <w:p w:rsidR="00F31A8D" w:rsidRPr="004F028D" w:rsidRDefault="00F31A8D">
            <w:pPr>
              <w:spacing w:after="0" w:line="238" w:lineRule="auto"/>
              <w:ind w:left="30" w:right="30"/>
              <w:rPr>
                <w:sz w:val="16"/>
                <w:szCs w:val="12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tcBorders>
              <w:bottom w:val="doub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</w:rPr>
              <w:t>$1,237,661.08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Pr="00F31A8D" w:rsidRDefault="004F028D">
            <w:pPr>
              <w:spacing w:after="0" w:line="238" w:lineRule="auto"/>
              <w:ind w:left="30" w:right="30"/>
              <w:rPr>
                <w:sz w:val="18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INTEGRACIÓN DE DISPONIBILIDAD AL 31 DE DICIEMBRE DE 2021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Pr="00F31A8D" w:rsidRDefault="004F028D">
            <w:pPr>
              <w:spacing w:after="0" w:line="238" w:lineRule="auto"/>
              <w:ind w:left="30" w:right="30"/>
              <w:rPr>
                <w:sz w:val="18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CUENTAS DE BALANCE DEUDORA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BANCOS/TESORERÍA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$3,868,799.27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CUENTAS POR COBRAR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$2,586,368.41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DEUDORES DIVERSOS POR COBRAR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$2,063,507.97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ANTICIPO A PROVEEDORES POR ADQUISICIÓN DE BIENES Y PRESTACIÓN DE SERVICIOS A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$25,407.72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EDIFICIOS NO HABITACIONALES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$25,714,396.17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CONSTRUCCIONES EN PROCESO EN BIENES PROPIOS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$5,134,770.05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MOBILIARIO Y EQUIPO DE ADMINISTRACIÓN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$9,017,768.44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MOBILIARIO Y EQUIPO EDUCACIONAL Y RECREATIVO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$2,880,837.07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EQUIPO E INSTRUMENTAL MÉDICO Y DE LABORATORIO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$2,949,429.71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VEHÍCULOS Y EQUIPO DE TRANSPORTE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$2,234,000.00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MAQUINARIA, OTROS EQUIPOS Y HERRAMIENTAS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$307,265.45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COLECCIONES, OBRAS DE ARTE Y OBJETOS VALIOSOS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$345,696.86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$57,128,247.12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gridAfter w:val="1"/>
          <w:wAfter w:w="19" w:type="dxa"/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 w:rsidRPr="00F31A8D">
              <w:rPr>
                <w:rFonts w:ascii="Microsoft Sans Serif" w:hAnsi="Microsoft Sans Serif" w:cs="Microsoft Sans Serif"/>
                <w:b/>
                <w:color w:val="000000"/>
                <w:sz w:val="18"/>
                <w:szCs w:val="12"/>
              </w:rPr>
              <w:t>CUENTAS DE BALANCE ACREDORAS</w:t>
            </w: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SERVICIOS PERSONALES POR PAGAR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$2,082,704.75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PROVEEDORES POR PAGAR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$164,181.91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RETENCIONES Y CONTRIBUCIONES POR PAGAR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$1,763,381.81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OTRAS CUENTAS POR PAGAR A CORTO PLAZO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$1,589,102.51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ACTUALIZACIÓN DE LA HACIENDA PÚBLICA/PATRIMONIO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$38,068,421.05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RESULTADOS DE EJERCICIOS ANTERIORES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$8,414,835.35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367432">
        <w:trPr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CAMBIOS POR ERRORES CONTABLES</w:t>
            </w:r>
          </w:p>
        </w:tc>
        <w:tc>
          <w:tcPr>
            <w:tcW w:w="179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$3,807,958.66</w:t>
            </w: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367432">
        <w:trPr>
          <w:gridAfter w:val="1"/>
          <w:wAfter w:w="19" w:type="dxa"/>
          <w:trHeight w:val="227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$55,890,586.04</w:t>
            </w: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bookmarkEnd w:id="0"/>
      <w:tr w:rsidR="00A65467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6"/>
            <w:tcBorders>
              <w:bottom w:val="doub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right"/>
              <w:rPr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</w:rPr>
              <w:t>$1,237,661.08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gridAfter w:val="1"/>
          <w:wAfter w:w="19" w:type="dxa"/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  <w:p w:rsidR="004F028D" w:rsidRDefault="004F028D">
            <w:pPr>
              <w:spacing w:after="0" w:line="0" w:lineRule="auto"/>
              <w:rPr>
                <w:sz w:val="1"/>
                <w:szCs w:val="1"/>
              </w:rPr>
            </w:pPr>
          </w:p>
          <w:p w:rsidR="004F028D" w:rsidRDefault="004F028D">
            <w:pPr>
              <w:spacing w:after="0" w:line="0" w:lineRule="auto"/>
              <w:rPr>
                <w:sz w:val="1"/>
                <w:szCs w:val="1"/>
              </w:rPr>
            </w:pPr>
          </w:p>
          <w:p w:rsidR="004F028D" w:rsidRDefault="004F028D">
            <w:pPr>
              <w:spacing w:after="0" w:line="0" w:lineRule="auto"/>
              <w:rPr>
                <w:sz w:val="1"/>
                <w:szCs w:val="1"/>
              </w:rPr>
            </w:pPr>
          </w:p>
          <w:p w:rsidR="004F028D" w:rsidRDefault="004F02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24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Enrique Torres Ponce</w:t>
            </w: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1A8D" w:rsidTr="00F11DB8">
        <w:trPr>
          <w:gridAfter w:val="1"/>
          <w:wAfter w:w="19" w:type="dxa"/>
          <w:trHeight w:val="24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24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Encargado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Subdireccion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gridAfter w:val="1"/>
          <w:wAfter w:w="19" w:type="dxa"/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349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70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Jesús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Vega Covarrubias</w:t>
            </w: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gridAfter w:val="1"/>
          <w:wAfter w:w="19" w:type="dxa"/>
          <w:trHeight w:val="70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11DB8">
        <w:trPr>
          <w:trHeight w:val="70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dxa"/>
            <w:gridSpan w:val="2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1DB8" w:rsidTr="00F11DB8">
        <w:trPr>
          <w:gridAfter w:val="1"/>
          <w:wAfter w:w="19" w:type="dxa"/>
          <w:trHeight w:val="513"/>
        </w:trPr>
        <w:tc>
          <w:tcPr>
            <w:tcW w:w="2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4F028D">
      <w:r>
        <w:rPr>
          <w:color w:val="FFFFFF"/>
          <w:sz w:val="2"/>
          <w:szCs w:val="2"/>
        </w:rPr>
        <w:t>.</w:t>
      </w:r>
    </w:p>
    <w:sectPr w:rsidR="00A65467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67432"/>
    <w:rsid w:val="004C0364"/>
    <w:rsid w:val="004F028D"/>
    <w:rsid w:val="00A65467"/>
    <w:rsid w:val="00CD49FF"/>
    <w:rsid w:val="00D31453"/>
    <w:rsid w:val="00D620A3"/>
    <w:rsid w:val="00E209E2"/>
    <w:rsid w:val="00F11DB8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4</cp:revision>
  <cp:lastPrinted>2022-01-21T18:18:00Z</cp:lastPrinted>
  <dcterms:created xsi:type="dcterms:W3CDTF">2022-01-21T18:17:00Z</dcterms:created>
  <dcterms:modified xsi:type="dcterms:W3CDTF">2022-01-21T18:49:00Z</dcterms:modified>
</cp:coreProperties>
</file>